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highlight w:val="yellow"/>
        </w:rPr>
        <w:t xml:space="preserve">a </w:t>
      </w:r>
      <m:oMath>
        <m:sSup>
          <m:sSupPr>
            <m:ctrlPr>
              <w:rPr>
                <w:highlight w:val="yellow"/>
              </w:rPr>
            </m:ctrlPr>
          </m:sSupPr>
          <m:e>
            <m:r>
              <w:rPr>
                <w:highlight w:val="yellow"/>
              </w:rPr>
              <m:t>x</m:t>
            </m:r>
          </m:e>
          <m:sup>
            <m:r>
              <w:rPr>
                <w:highlight w:val="yellow"/>
              </w:rPr>
              <m:t>2</m:t>
            </m:r>
          </m:sup>
        </m:sSup>
      </m:oMath>
      <w:r>
        <w:rPr>
          <w:highlight w:val="yellow"/>
        </w:rPr>
        <w:t xml:space="preserve"> b</w:t>
      </w:r>
    </w:p>
    <w:p>
      <w:pPr>
        <w:pStyle w:val="BodyText"/>
      </w:pPr>
      <m:oMathPara>
        <m:oMathParaPr>
          <m:jc m:val="center"/>
        </m:oMathParaPr>
        <m:oMath>
          <m:r>
            <w:rPr>
              <w:highlight w:val="yellow"/>
            </w:rPr>
            <m:t>z</m:t>
          </m:r>
          <m:r>
            <m:rPr>
              <m:sty m:val="p"/>
            </m:rPr>
            <w:rPr>
              <w:highlight w:val="yellow"/>
            </w:rPr>
            <m:t>=</m:t>
          </m:r>
          <m:r>
            <w:rPr>
              <w:highlight w:val="yellow"/>
            </w:rPr>
            <m:t>1</m:t>
          </m:r>
        </m:oMath>
      </m:oMathPara>
    </w:p>
    <w:p>
      <w:pPr>
        <w:pStyle w:val="FirstParagraph"/>
      </w:pPr>
      <m:oMath>
        <m:acc>
          <m:accPr>
            <m:chr m:val="̂"/>
            <m:ctrlPr>
              <w:rPr>
                <w:highlight w:val="yellow"/>
              </w:rPr>
            </m:ctrlPr>
          </m:accPr>
          <m:e>
            <m:r>
              <w:rPr>
                <w:highlight w:val="yellow"/>
              </w:rPr>
              <m:t>x</m:t>
            </m:r>
          </m:e>
        </m:acc>
      </m:oMath>
    </w:p>
    <w:p>
      <w:pPr>
        <w:pStyle w:val="BodyText"/>
      </w:pPr>
      <m:oMath>
        <m:r>
          <m:rPr>
            <m:sty m:val="p"/>
          </m:rPr>
          <w:rPr>
            <w:highlight w:val="yellow"/>
          </w:rPr>
          <m:t>sin</m:t>
        </m:r>
        <m:r>
          <w:rPr>
            <w:highlight w:val="yellow"/>
          </w:rPr>
          <m:t>x</m:t>
        </m:r>
        <m:r>
          <m:rPr>
            <m:sty m:val="p"/>
          </m:rPr>
          <w:rPr>
            <w:highlight w:val="yellow"/>
          </w:rPr>
          <m:t>+</m:t>
        </m:r>
        <m:nary>
          <m:naryPr>
            <m:chr m:val="∑"/>
            <m:limLoc m:val="undOvr"/>
            <m:subHide m:val="off"/>
            <m:supHide m:val="off"/>
            <m:ctrlPr>
              <w:rPr>
                <w:highlight w:val="yellow"/>
              </w:rPr>
            </m:ctrlPr>
          </m:naryPr>
          <m:sub>
            <m:r>
              <w:rPr>
                <w:highlight w:val="yellow"/>
              </w:rPr>
              <m:t>i</m:t>
            </m:r>
            <m:r>
              <m:rPr>
                <m:sty m:val="p"/>
              </m:rPr>
              <w:rPr>
                <w:highlight w:val="yellow"/>
              </w:rPr>
              <m:t>=</m:t>
            </m:r>
            <m:r>
              <w:rPr>
                <w:highlight w:val="yellow"/>
              </w:rPr>
              <m:t>1</m:t>
            </m:r>
          </m:sub>
          <m:sup>
            <m:r>
              <w:rPr>
                <w:highlight w:val="yellow"/>
              </w:rPr>
              <m:t>n</m:t>
            </m:r>
          </m:sup>
          <m:e>
            <m:r>
              <w:rPr>
                <w:highlight w:val="yellow"/>
              </w:rPr>
              <m:t>i</m:t>
            </m:r>
          </m:e>
        </m:nary>
        <m:r>
          <m:rPr>
            <m:sty m:val="p"/>
          </m:rPr>
          <w:rPr>
            <w:highlight w:val="yellow"/>
          </w:rPr>
          <m:t>+</m:t>
        </m:r>
        <m:f>
          <m:fPr>
            <m:type m:val="bar"/>
            <m:ctrlPr>
              <w:rPr>
                <w:highlight w:val="yellow"/>
              </w:rPr>
            </m:ctrlPr>
          </m:fPr>
          <m:num>
            <m:r>
              <w:rPr>
                <w:highlight w:val="yellow"/>
              </w:rPr>
              <m:t>a</m:t>
            </m:r>
          </m:num>
          <m:den>
            <m:r>
              <w:rPr>
                <w:highlight w:val="yellow"/>
              </w:rPr>
              <m:t>b</m:t>
            </m:r>
          </m:den>
        </m:f>
        <m:r>
          <m:rPr>
            <m:sty m:val="p"/>
          </m:rPr>
          <w:rPr>
            <w:highlight w:val="yellow"/>
          </w:rPr>
          <m:t>+</m:t>
        </m:r>
        <m:rad>
          <m:radPr>
            <m:ctrlPr>
              <w:rPr>
                <w:highlight w:val="yellow"/>
              </w:rPr>
            </m:ctrlPr>
          </m:radPr>
          <m:deg>
            <m:r>
              <w:rPr>
                <w:highlight w:val="yellow"/>
              </w:rPr>
              <m:t>3</m:t>
            </m:r>
          </m:deg>
          <m:e>
            <m:r>
              <w:rPr>
                <w:highlight w:val="yellow"/>
              </w:rPr>
              <m:t>x</m:t>
            </m:r>
          </m:e>
        </m:rad>
      </m:oMath>
    </w:p>
    <w:p>
      <w:pPr>
        <w:pStyle w:val="BodyText"/>
      </w:pPr>
      <w:r>
        <w:t xml:space="preserve">unmarked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math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